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BA" w:rsidRDefault="00FC0CBA" w:rsidP="00FC0CBA">
      <w:pPr>
        <w:spacing w:after="0"/>
        <w:jc w:val="right"/>
        <w:rPr>
          <w:rFonts w:ascii="Times New Roman" w:hAnsi="Times New Roman" w:cs="Times New Roman"/>
          <w:sz w:val="24"/>
          <w:szCs w:val="28"/>
          <w:lang w:val="ru-RU"/>
        </w:rPr>
      </w:pPr>
    </w:p>
    <w:p w:rsidR="00FC0CBA" w:rsidRPr="00FC0CBA" w:rsidRDefault="00FC0CBA" w:rsidP="00FC0CBA">
      <w:pPr>
        <w:spacing w:after="0"/>
        <w:jc w:val="right"/>
        <w:rPr>
          <w:rStyle w:val="23"/>
          <w:sz w:val="24"/>
          <w:lang w:val="ru-RU"/>
        </w:rPr>
      </w:pPr>
    </w:p>
    <w:p w:rsidR="00861C6E" w:rsidRDefault="00060E4F" w:rsidP="00861C6E">
      <w:pPr>
        <w:spacing w:line="360" w:lineRule="auto"/>
        <w:jc w:val="center"/>
        <w:rPr>
          <w:rStyle w:val="23"/>
          <w:b/>
          <w:bCs/>
          <w:lang w:val="ru-RU"/>
        </w:rPr>
      </w:pPr>
      <w:r>
        <w:rPr>
          <w:rStyle w:val="23"/>
          <w:b/>
          <w:bCs/>
          <w:lang w:val="ru-RU"/>
        </w:rPr>
        <w:t>К</w:t>
      </w:r>
      <w:r w:rsidR="00861C6E" w:rsidRPr="00F54445">
        <w:rPr>
          <w:rStyle w:val="23"/>
          <w:b/>
          <w:bCs/>
          <w:lang w:val="ru-RU"/>
        </w:rPr>
        <w:t>онкурентоспособност</w:t>
      </w:r>
      <w:r>
        <w:rPr>
          <w:rStyle w:val="23"/>
          <w:b/>
          <w:bCs/>
          <w:lang w:val="ru-RU"/>
        </w:rPr>
        <w:t>ь</w:t>
      </w:r>
      <w:r w:rsidR="00861C6E" w:rsidRPr="00F54445">
        <w:rPr>
          <w:rStyle w:val="23"/>
          <w:b/>
          <w:bCs/>
          <w:lang w:val="ru-RU"/>
        </w:rPr>
        <w:t xml:space="preserve"> учреждений среднего общего образования</w:t>
      </w:r>
    </w:p>
    <w:p w:rsidR="00FC0CBA" w:rsidRPr="00FC0CBA" w:rsidRDefault="00FC0CBA" w:rsidP="00FC0CBA">
      <w:pPr>
        <w:pStyle w:val="af3"/>
        <w:shd w:val="clear" w:color="auto" w:fill="auto"/>
        <w:spacing w:line="360" w:lineRule="auto"/>
        <w:ind w:firstLine="708"/>
        <w:rPr>
          <w:lang w:val="ru-RU"/>
        </w:rPr>
      </w:pPr>
      <w:r w:rsidRPr="00FC0CBA">
        <w:rPr>
          <w:b/>
          <w:lang w:val="ru-RU"/>
        </w:rPr>
        <w:t>Аннотация</w:t>
      </w:r>
      <w:r w:rsidRPr="00FC0CBA">
        <w:rPr>
          <w:rStyle w:val="111"/>
        </w:rPr>
        <w:t xml:space="preserve">: </w:t>
      </w:r>
      <w:r w:rsidRPr="00FC0CBA">
        <w:rPr>
          <w:rStyle w:val="111"/>
          <w:lang w:eastAsia="ru-RU" w:bidi="ar-SA"/>
        </w:rPr>
        <w:t xml:space="preserve">В статье сформированы основные </w:t>
      </w:r>
      <w:r w:rsidRPr="00FC0CBA">
        <w:rPr>
          <w:lang w:val="ru-RU"/>
        </w:rPr>
        <w:t>факторы конкурентоспособности учреждений среднего общего образования. Факторы  конкурентоспособности образовательного учреждения включает в себя  ресурсный потенциал и результирующие показатели деятельности. Выделено три блока факторов, которые определяют результирующую оценку конкурентных преимуществ образовательного учреждения по степени их признания заинтересованными лицами (потребителями, деловыми партнерами и общественностью, включая органы государственного управления): потребительская ценность; функциональная ценность; общественная ценность;</w:t>
      </w:r>
    </w:p>
    <w:p w:rsidR="00FC0CBA" w:rsidRPr="00FC0CBA" w:rsidRDefault="00FC0CBA" w:rsidP="00FC0CB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0C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Ключевые слова: </w:t>
      </w:r>
      <w:r w:rsidRPr="00FC0CBA">
        <w:rPr>
          <w:rFonts w:ascii="Times New Roman" w:hAnsi="Times New Roman" w:cs="Times New Roman"/>
          <w:sz w:val="28"/>
          <w:szCs w:val="28"/>
          <w:lang w:val="ru-RU"/>
        </w:rPr>
        <w:t>конкуренция, среднее общее образование, внутренние и внешние факторы, потребительская ценность, функциональная ценность, общественная ценность.</w:t>
      </w:r>
    </w:p>
    <w:p w:rsidR="00861C6E" w:rsidRPr="00FC0CBA" w:rsidRDefault="00861C6E" w:rsidP="00FC0C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CBA">
        <w:rPr>
          <w:rStyle w:val="23"/>
          <w:lang w:val="ru-RU"/>
        </w:rPr>
        <w:t xml:space="preserve">В современном мире одной из актуальных проблем является оценка конкурентоспособности образовательного учреждения во всех его аспектах. </w:t>
      </w:r>
      <w:r w:rsidRPr="00FC0CBA">
        <w:rPr>
          <w:rFonts w:ascii="Times New Roman" w:hAnsi="Times New Roman" w:cs="Times New Roman"/>
          <w:sz w:val="28"/>
          <w:szCs w:val="28"/>
          <w:lang w:val="ru-RU"/>
        </w:rPr>
        <w:t>Причем основные отличия в существующих взглядах и подходах, как правило, состоят в специфике определяющих конкурентоспособность параметров и наборе характеризующих ее показателей, соответствующая классификация которых имеет существенное теоретическое и практическое значение.</w:t>
      </w:r>
    </w:p>
    <w:p w:rsidR="00861C6E" w:rsidRPr="00FC0CBA" w:rsidRDefault="00461E2B" w:rsidP="00FC0C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C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61C6E" w:rsidRPr="00FC0CBA">
        <w:rPr>
          <w:rFonts w:ascii="Times New Roman" w:hAnsi="Times New Roman" w:cs="Times New Roman"/>
          <w:sz w:val="28"/>
          <w:szCs w:val="28"/>
          <w:lang w:val="ru-RU"/>
        </w:rPr>
        <w:t xml:space="preserve">  экономической литературе существуют различные подходы к этому понятию. Выделим их наиболее важные стороны: </w:t>
      </w:r>
    </w:p>
    <w:p w:rsidR="00861C6E" w:rsidRPr="00FC0CBA" w:rsidRDefault="00861C6E" w:rsidP="00FC0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CBA">
        <w:rPr>
          <w:rFonts w:ascii="Times New Roman" w:hAnsi="Times New Roman" w:cs="Times New Roman"/>
          <w:sz w:val="28"/>
          <w:szCs w:val="28"/>
          <w:lang w:val="ru-RU"/>
        </w:rPr>
        <w:t xml:space="preserve">- конкурентоспособность — это привлекательность продукции для потребителя, мера возможности быть проданной; </w:t>
      </w:r>
    </w:p>
    <w:p w:rsidR="00861C6E" w:rsidRPr="00FC0CBA" w:rsidRDefault="00861C6E" w:rsidP="00FC0CBA">
      <w:pPr>
        <w:pStyle w:val="af3"/>
        <w:shd w:val="clear" w:color="auto" w:fill="auto"/>
        <w:spacing w:line="360" w:lineRule="auto"/>
        <w:rPr>
          <w:lang w:val="ru-RU"/>
        </w:rPr>
      </w:pPr>
      <w:r w:rsidRPr="00FC0CBA">
        <w:rPr>
          <w:lang w:val="ru-RU"/>
        </w:rPr>
        <w:t>- отражает степень удовлетворения требований потребителя, а характер предъявляемых требований зависит от вида продукции;</w:t>
      </w:r>
    </w:p>
    <w:p w:rsidR="00861C6E" w:rsidRPr="00FC0CBA" w:rsidRDefault="00861C6E" w:rsidP="00FC0CBA">
      <w:pPr>
        <w:pStyle w:val="af3"/>
        <w:shd w:val="clear" w:color="auto" w:fill="auto"/>
        <w:spacing w:line="360" w:lineRule="auto"/>
        <w:rPr>
          <w:lang w:val="ru-RU"/>
        </w:rPr>
      </w:pPr>
      <w:r w:rsidRPr="00FC0CBA">
        <w:rPr>
          <w:lang w:val="ru-RU"/>
        </w:rPr>
        <w:t>-  относительная величина, получаемая при сопоставлении с аналогичной продукцией основных конкурентов по техническим, экономическим, эксплуатационным характеристикам в определенный промежуток времени;</w:t>
      </w:r>
    </w:p>
    <w:p w:rsidR="00861C6E" w:rsidRPr="00FC0CBA" w:rsidRDefault="00861C6E" w:rsidP="00FC0CBA">
      <w:pPr>
        <w:pStyle w:val="af3"/>
        <w:shd w:val="clear" w:color="auto" w:fill="auto"/>
        <w:spacing w:line="360" w:lineRule="auto"/>
        <w:rPr>
          <w:lang w:val="ru-RU"/>
        </w:rPr>
      </w:pPr>
      <w:r w:rsidRPr="00FC0CBA">
        <w:rPr>
          <w:lang w:val="ru-RU"/>
        </w:rPr>
        <w:lastRenderedPageBreak/>
        <w:t>-  прогнозируемая, математическая величина.</w:t>
      </w:r>
    </w:p>
    <w:p w:rsidR="00861C6E" w:rsidRPr="00FC0CBA" w:rsidRDefault="00861C6E" w:rsidP="00FC0CBA">
      <w:pPr>
        <w:pStyle w:val="af3"/>
        <w:shd w:val="clear" w:color="auto" w:fill="auto"/>
        <w:spacing w:line="360" w:lineRule="auto"/>
        <w:rPr>
          <w:lang w:val="ru-RU"/>
        </w:rPr>
      </w:pPr>
      <w:r w:rsidRPr="00FC0CBA">
        <w:rPr>
          <w:lang w:val="ru-RU"/>
        </w:rPr>
        <w:tab/>
        <w:t xml:space="preserve">В современном мире с конкуренцией связывают выигрыш, надежность, качество, компетентность и эффективность организации или предприятия. В частности, конкурентоспособность определяется как «комплекс управленческих и маркетинговых действий, используемых для эффективного достижения целей и задач предприятия, позволяющих ему занять прочные позиции в борьбе с конкурентами». </w:t>
      </w:r>
    </w:p>
    <w:p w:rsidR="00861C6E" w:rsidRPr="00FC0CBA" w:rsidRDefault="00861C6E" w:rsidP="00FC0CBA">
      <w:pPr>
        <w:pStyle w:val="af3"/>
        <w:shd w:val="clear" w:color="auto" w:fill="auto"/>
        <w:spacing w:line="360" w:lineRule="auto"/>
        <w:ind w:firstLine="709"/>
        <w:rPr>
          <w:lang w:val="ru-RU"/>
        </w:rPr>
      </w:pPr>
      <w:r w:rsidRPr="00FC0CBA">
        <w:rPr>
          <w:lang w:val="ru-RU"/>
        </w:rPr>
        <w:t xml:space="preserve">Понятие «конкурентоспособность образовательного учреждения», определяется как способность к осуществлению конкурентных действий, избавление от конкурентных недостатков и прибавление конкурентных преимуществ. </w:t>
      </w:r>
    </w:p>
    <w:p w:rsidR="00861C6E" w:rsidRPr="00FC0CBA" w:rsidRDefault="00861C6E" w:rsidP="00FC0CBA">
      <w:pPr>
        <w:pStyle w:val="af3"/>
        <w:shd w:val="clear" w:color="auto" w:fill="auto"/>
        <w:spacing w:line="360" w:lineRule="auto"/>
        <w:ind w:firstLine="709"/>
        <w:rPr>
          <w:lang w:val="ru-RU"/>
        </w:rPr>
      </w:pPr>
      <w:r w:rsidRPr="00FC0CBA">
        <w:rPr>
          <w:lang w:val="ru-RU"/>
        </w:rPr>
        <w:t>Исследуем факторы обеспечения конкурентоспособности для учреждений среднего общего образования.</w:t>
      </w:r>
    </w:p>
    <w:p w:rsidR="00861C6E" w:rsidRPr="00FC0CBA" w:rsidRDefault="00861C6E" w:rsidP="00FC0CBA">
      <w:pPr>
        <w:pStyle w:val="af3"/>
        <w:shd w:val="clear" w:color="auto" w:fill="auto"/>
        <w:spacing w:line="360" w:lineRule="auto"/>
        <w:ind w:firstLine="709"/>
        <w:rPr>
          <w:lang w:val="ru-RU"/>
        </w:rPr>
      </w:pPr>
      <w:r w:rsidRPr="00FC0CBA">
        <w:rPr>
          <w:lang w:val="ru-RU"/>
        </w:rPr>
        <w:t>В своей работе Баумгартен Л.В. обобщив большинство исследований, определяет конкурентоспособность организации различными факторами, которые характеризуют результативность её деятельности, атрибуты качества продукции/услуг и эффективность маркетинговой деятельности. Критерии конкурентоспособности могут выступать элементы маркетинга (продукт, цена, доведение продукта до потребителя, продвижение продукта или маркетинговые коммуникации) или деловая активность, эффективность деятельности организации.</w:t>
      </w:r>
      <w:r w:rsidR="007A66BE" w:rsidRPr="00FC0CBA">
        <w:rPr>
          <w:lang w:val="ru-RU"/>
        </w:rPr>
        <w:t xml:space="preserve"> </w:t>
      </w:r>
      <w:r w:rsidRPr="00FC0CBA">
        <w:rPr>
          <w:lang w:val="ru-RU"/>
        </w:rPr>
        <w:t xml:space="preserve">Конечно,  главным конкурентным преимуществом любого учебного заведения выступает качество образования. </w:t>
      </w:r>
    </w:p>
    <w:p w:rsidR="00861C6E" w:rsidRPr="00FC0CBA" w:rsidRDefault="00861C6E" w:rsidP="00FC0CBA">
      <w:pPr>
        <w:pStyle w:val="af3"/>
        <w:shd w:val="clear" w:color="auto" w:fill="auto"/>
        <w:spacing w:line="360" w:lineRule="auto"/>
        <w:ind w:firstLine="709"/>
        <w:rPr>
          <w:lang w:val="ru-RU"/>
        </w:rPr>
      </w:pPr>
      <w:r w:rsidRPr="00FC0CBA">
        <w:rPr>
          <w:lang w:val="ru-RU"/>
        </w:rPr>
        <w:t xml:space="preserve">Классификация существующих подходов к определению качество образования: </w:t>
      </w:r>
    </w:p>
    <w:p w:rsidR="00861C6E" w:rsidRPr="00FC0CBA" w:rsidRDefault="00861C6E" w:rsidP="00FC0CBA">
      <w:pPr>
        <w:pStyle w:val="af3"/>
        <w:numPr>
          <w:ilvl w:val="0"/>
          <w:numId w:val="1"/>
        </w:numPr>
        <w:shd w:val="clear" w:color="auto" w:fill="auto"/>
        <w:tabs>
          <w:tab w:val="left" w:pos="285"/>
        </w:tabs>
        <w:spacing w:line="360" w:lineRule="auto"/>
        <w:ind w:firstLine="709"/>
        <w:rPr>
          <w:lang w:val="ru-RU"/>
        </w:rPr>
      </w:pPr>
      <w:r w:rsidRPr="00FC0CBA">
        <w:rPr>
          <w:rStyle w:val="12"/>
          <w:lang w:val="ru-RU"/>
        </w:rPr>
        <w:t>эмпирическое определение</w:t>
      </w:r>
      <w:r w:rsidRPr="00FC0CBA">
        <w:rPr>
          <w:lang w:val="ru-RU"/>
        </w:rPr>
        <w:t xml:space="preserve"> качества образования (например, им пользуются родители при выборе образовательного учреждения для своего ребенка);</w:t>
      </w:r>
    </w:p>
    <w:p w:rsidR="00861C6E" w:rsidRPr="00FC0CBA" w:rsidRDefault="00861C6E" w:rsidP="00FC0CBA">
      <w:pPr>
        <w:pStyle w:val="af3"/>
        <w:numPr>
          <w:ilvl w:val="0"/>
          <w:numId w:val="1"/>
        </w:numPr>
        <w:shd w:val="clear" w:color="auto" w:fill="auto"/>
        <w:tabs>
          <w:tab w:val="left" w:pos="290"/>
        </w:tabs>
        <w:spacing w:line="360" w:lineRule="auto"/>
        <w:ind w:firstLine="709"/>
        <w:rPr>
          <w:lang w:val="ru-RU"/>
        </w:rPr>
      </w:pPr>
      <w:r w:rsidRPr="00FC0CBA">
        <w:rPr>
          <w:rStyle w:val="12"/>
          <w:lang w:val="ru-RU"/>
        </w:rPr>
        <w:t>формально-отчетное определение</w:t>
      </w:r>
      <w:r w:rsidRPr="00FC0CBA">
        <w:rPr>
          <w:lang w:val="ru-RU"/>
        </w:rPr>
        <w:t xml:space="preserve"> процента успевающих на «4» и «5» при общем уровне успеваемости (такое определение часто фигурирует во многих показательных данных образовательного учреждения);</w:t>
      </w:r>
    </w:p>
    <w:p w:rsidR="00861C6E" w:rsidRPr="00FC0CBA" w:rsidRDefault="00861C6E" w:rsidP="00FC0CBA">
      <w:pPr>
        <w:pStyle w:val="af3"/>
        <w:numPr>
          <w:ilvl w:val="0"/>
          <w:numId w:val="1"/>
        </w:numPr>
        <w:shd w:val="clear" w:color="auto" w:fill="auto"/>
        <w:tabs>
          <w:tab w:val="left" w:pos="405"/>
        </w:tabs>
        <w:spacing w:line="360" w:lineRule="auto"/>
        <w:ind w:firstLine="709"/>
        <w:rPr>
          <w:lang w:val="ru-RU"/>
        </w:rPr>
      </w:pPr>
      <w:r w:rsidRPr="00FC0CBA">
        <w:rPr>
          <w:rStyle w:val="12"/>
          <w:lang w:val="ru-RU"/>
        </w:rPr>
        <w:lastRenderedPageBreak/>
        <w:t>дидактическое</w:t>
      </w:r>
      <w:r w:rsidRPr="00FC0CBA">
        <w:rPr>
          <w:lang w:val="ru-RU"/>
        </w:rPr>
        <w:t xml:space="preserve"> (определение уровня обученности на основе тестовых технологий);</w:t>
      </w:r>
    </w:p>
    <w:p w:rsidR="00861C6E" w:rsidRPr="00FC0CBA" w:rsidRDefault="00861C6E" w:rsidP="00FC0CBA">
      <w:pPr>
        <w:pStyle w:val="af3"/>
        <w:numPr>
          <w:ilvl w:val="0"/>
          <w:numId w:val="1"/>
        </w:numPr>
        <w:shd w:val="clear" w:color="auto" w:fill="auto"/>
        <w:tabs>
          <w:tab w:val="left" w:pos="203"/>
        </w:tabs>
        <w:spacing w:line="360" w:lineRule="auto"/>
        <w:ind w:firstLine="709"/>
        <w:rPr>
          <w:lang w:val="ru-RU"/>
        </w:rPr>
      </w:pPr>
      <w:r w:rsidRPr="00FC0CBA">
        <w:rPr>
          <w:rStyle w:val="12"/>
          <w:lang w:val="ru-RU"/>
        </w:rPr>
        <w:t>психолого-дидактическое</w:t>
      </w:r>
      <w:r w:rsidRPr="00FC0CBA">
        <w:rPr>
          <w:lang w:val="ru-RU"/>
        </w:rPr>
        <w:t xml:space="preserve"> (к предметным тестам добавляются психологические);</w:t>
      </w:r>
    </w:p>
    <w:p w:rsidR="00861C6E" w:rsidRPr="00FC0CBA" w:rsidRDefault="00861C6E" w:rsidP="00FC0CBA">
      <w:pPr>
        <w:pStyle w:val="af3"/>
        <w:numPr>
          <w:ilvl w:val="0"/>
          <w:numId w:val="1"/>
        </w:numPr>
        <w:shd w:val="clear" w:color="auto" w:fill="auto"/>
        <w:tabs>
          <w:tab w:val="left" w:pos="294"/>
        </w:tabs>
        <w:spacing w:line="360" w:lineRule="auto"/>
        <w:ind w:firstLine="709"/>
        <w:rPr>
          <w:lang w:val="ru-RU"/>
        </w:rPr>
      </w:pPr>
      <w:r w:rsidRPr="00FC0CBA">
        <w:rPr>
          <w:rStyle w:val="12"/>
          <w:lang w:val="ru-RU"/>
        </w:rPr>
        <w:t>педагогическое</w:t>
      </w:r>
      <w:r w:rsidRPr="00FC0CBA">
        <w:rPr>
          <w:lang w:val="ru-RU"/>
        </w:rPr>
        <w:t xml:space="preserve"> (определение качества образования включает в себя оценку уровня воспитанности);</w:t>
      </w:r>
    </w:p>
    <w:p w:rsidR="00861C6E" w:rsidRPr="00FC0CBA" w:rsidRDefault="00861C6E" w:rsidP="00FC0CBA">
      <w:pPr>
        <w:pStyle w:val="af3"/>
        <w:numPr>
          <w:ilvl w:val="0"/>
          <w:numId w:val="1"/>
        </w:numPr>
        <w:shd w:val="clear" w:color="auto" w:fill="auto"/>
        <w:tabs>
          <w:tab w:val="left" w:pos="381"/>
        </w:tabs>
        <w:spacing w:line="360" w:lineRule="auto"/>
        <w:ind w:firstLine="709"/>
        <w:rPr>
          <w:lang w:val="ru-RU"/>
        </w:rPr>
      </w:pPr>
      <w:r w:rsidRPr="00FC0CBA">
        <w:rPr>
          <w:rStyle w:val="12"/>
          <w:lang w:val="ru-RU"/>
        </w:rPr>
        <w:t>процессуальное</w:t>
      </w:r>
      <w:r w:rsidRPr="00FC0CBA">
        <w:rPr>
          <w:lang w:val="ru-RU"/>
        </w:rPr>
        <w:t xml:space="preserve"> (оценка качества образования по параметрам учебного процесса);</w:t>
      </w:r>
    </w:p>
    <w:p w:rsidR="00861C6E" w:rsidRPr="00FC0CBA" w:rsidRDefault="00861C6E" w:rsidP="00FC0CBA">
      <w:pPr>
        <w:pStyle w:val="af3"/>
        <w:numPr>
          <w:ilvl w:val="0"/>
          <w:numId w:val="1"/>
        </w:numPr>
        <w:shd w:val="clear" w:color="auto" w:fill="auto"/>
        <w:tabs>
          <w:tab w:val="left" w:pos="381"/>
        </w:tabs>
        <w:spacing w:line="360" w:lineRule="auto"/>
        <w:ind w:firstLine="709"/>
        <w:rPr>
          <w:lang w:val="ru-RU"/>
        </w:rPr>
      </w:pPr>
      <w:r w:rsidRPr="00FC0CBA">
        <w:rPr>
          <w:rStyle w:val="12"/>
          <w:lang w:val="ru-RU"/>
        </w:rPr>
        <w:t>комплексное</w:t>
      </w:r>
      <w:r w:rsidRPr="00FC0CBA">
        <w:rPr>
          <w:lang w:val="ru-RU"/>
        </w:rPr>
        <w:t xml:space="preserve"> (в оценку качества образования включаются материальная база, кадровый состав, программы, формы и методы работы);</w:t>
      </w:r>
    </w:p>
    <w:p w:rsidR="00861C6E" w:rsidRPr="00FC0CBA" w:rsidRDefault="00861C6E" w:rsidP="00FC0CBA">
      <w:pPr>
        <w:pStyle w:val="af3"/>
        <w:numPr>
          <w:ilvl w:val="0"/>
          <w:numId w:val="1"/>
        </w:numPr>
        <w:shd w:val="clear" w:color="auto" w:fill="auto"/>
        <w:tabs>
          <w:tab w:val="left" w:pos="261"/>
        </w:tabs>
        <w:spacing w:line="360" w:lineRule="auto"/>
        <w:ind w:firstLine="709"/>
        <w:rPr>
          <w:lang w:val="ru-RU"/>
        </w:rPr>
      </w:pPr>
      <w:r w:rsidRPr="00FC0CBA">
        <w:rPr>
          <w:rStyle w:val="12"/>
          <w:lang w:val="ru-RU"/>
        </w:rPr>
        <w:t>многопараметрическое определение</w:t>
      </w:r>
      <w:r w:rsidRPr="00FC0CBA">
        <w:rPr>
          <w:lang w:val="ru-RU"/>
        </w:rPr>
        <w:t xml:space="preserve"> качества образования (используется для оценки вузовского образования и региональных образовательных систем);</w:t>
      </w:r>
    </w:p>
    <w:p w:rsidR="00861C6E" w:rsidRPr="00FC0CBA" w:rsidRDefault="00861C6E" w:rsidP="00FC0CBA">
      <w:pPr>
        <w:pStyle w:val="af3"/>
        <w:numPr>
          <w:ilvl w:val="0"/>
          <w:numId w:val="1"/>
        </w:numPr>
        <w:shd w:val="clear" w:color="auto" w:fill="auto"/>
        <w:tabs>
          <w:tab w:val="left" w:pos="371"/>
        </w:tabs>
        <w:spacing w:line="360" w:lineRule="auto"/>
        <w:ind w:firstLine="709"/>
        <w:rPr>
          <w:lang w:val="ru-RU"/>
        </w:rPr>
      </w:pPr>
      <w:r w:rsidRPr="00FC0CBA">
        <w:rPr>
          <w:rStyle w:val="12"/>
          <w:lang w:val="ru-RU"/>
        </w:rPr>
        <w:t>методологическое определение</w:t>
      </w:r>
      <w:r w:rsidRPr="00FC0CBA">
        <w:rPr>
          <w:lang w:val="ru-RU"/>
        </w:rPr>
        <w:t xml:space="preserve"> (качество образования как соотношение операционально заданной цели и результата).</w:t>
      </w:r>
    </w:p>
    <w:p w:rsidR="00861C6E" w:rsidRPr="00FC0CBA" w:rsidRDefault="00861C6E" w:rsidP="00FC0CBA">
      <w:pPr>
        <w:pStyle w:val="af3"/>
        <w:shd w:val="clear" w:color="auto" w:fill="auto"/>
        <w:spacing w:line="360" w:lineRule="auto"/>
        <w:ind w:firstLine="709"/>
        <w:rPr>
          <w:lang w:val="ru-RU"/>
        </w:rPr>
      </w:pPr>
      <w:r w:rsidRPr="00FC0CBA">
        <w:rPr>
          <w:lang w:val="ru-RU"/>
        </w:rPr>
        <w:t>Таким образом, для оценки качество образования разумно использовать его относительное понятие, в отличие от абсолютного. Тогда о качестве можно говорить, когда продукция или образовательная услуга будет отвечать соответствующим ей требованиям стандартов и спецификой. Качество, как относительное понятие имеет два аспекта: первый - соответствие стандартам или спецификации, второй - соответствие запросам потребителя.</w:t>
      </w:r>
      <w:r w:rsidR="007A66BE" w:rsidRPr="00FC0CBA">
        <w:rPr>
          <w:lang w:val="ru-RU"/>
        </w:rPr>
        <w:t xml:space="preserve"> </w:t>
      </w:r>
      <w:r w:rsidRPr="00FC0CBA">
        <w:rPr>
          <w:lang w:val="ru-RU"/>
        </w:rPr>
        <w:t xml:space="preserve">Анализ результатов пятнадцатилетних российских школьников в международных исследованиях </w:t>
      </w:r>
      <w:r w:rsidRPr="00FC0CBA">
        <w:t>PISA</w:t>
      </w:r>
      <w:r w:rsidRPr="00FC0CBA">
        <w:rPr>
          <w:lang w:val="ru-RU"/>
        </w:rPr>
        <w:t xml:space="preserve"> (</w:t>
      </w:r>
      <w:r w:rsidRPr="00FC0CBA">
        <w:t>Program</w:t>
      </w:r>
      <w:r w:rsidRPr="00FC0CBA">
        <w:rPr>
          <w:lang w:val="ru-RU"/>
        </w:rPr>
        <w:t xml:space="preserve"> </w:t>
      </w:r>
      <w:r w:rsidRPr="00FC0CBA">
        <w:t>for</w:t>
      </w:r>
      <w:r w:rsidRPr="00FC0CBA">
        <w:rPr>
          <w:lang w:val="ru-RU"/>
        </w:rPr>
        <w:t xml:space="preserve"> </w:t>
      </w:r>
      <w:r w:rsidRPr="00FC0CBA">
        <w:t>International</w:t>
      </w:r>
      <w:r w:rsidRPr="00FC0CBA">
        <w:rPr>
          <w:lang w:val="ru-RU"/>
        </w:rPr>
        <w:t xml:space="preserve"> </w:t>
      </w:r>
      <w:r w:rsidRPr="00FC0CBA">
        <w:t>Student</w:t>
      </w:r>
      <w:r w:rsidRPr="00FC0CBA">
        <w:rPr>
          <w:lang w:val="ru-RU"/>
        </w:rPr>
        <w:t xml:space="preserve"> </w:t>
      </w:r>
      <w:r w:rsidRPr="00FC0CBA">
        <w:t>Assessment</w:t>
      </w:r>
      <w:r w:rsidRPr="00FC0CBA">
        <w:rPr>
          <w:lang w:val="ru-RU"/>
        </w:rPr>
        <w:t>) показывает, что качество российского образования существенно отличается от зарубежного. В результате проведенного в рамках проекта «Реформа системы образования» исследования были сделаны выводы относительно того, что современная российская школа не отвечает принятым сегодня в мире критериям и поэтому не может считаться эффективной.</w:t>
      </w:r>
      <w:r w:rsidR="00FC0CBA" w:rsidRPr="00FC0CBA">
        <w:rPr>
          <w:lang w:val="ru-RU"/>
        </w:rPr>
        <w:t xml:space="preserve"> </w:t>
      </w:r>
      <w:r w:rsidR="00FC0CBA">
        <w:rPr>
          <w:lang w:val="ru-RU"/>
        </w:rPr>
        <w:t>[1</w:t>
      </w:r>
      <w:r w:rsidR="00FC0CBA" w:rsidRPr="00FC0CBA">
        <w:rPr>
          <w:lang w:val="ru-RU"/>
        </w:rPr>
        <w:t xml:space="preserve">]  </w:t>
      </w:r>
      <w:r w:rsidR="00FC0CBA">
        <w:rPr>
          <w:lang w:val="ru-RU"/>
        </w:rPr>
        <w:t xml:space="preserve"> </w:t>
      </w:r>
      <w:r w:rsidRPr="00FC0CBA">
        <w:rPr>
          <w:lang w:val="ru-RU"/>
        </w:rPr>
        <w:t xml:space="preserve"> Актуальной задачей на сегодняшний день становится разработка собственных инструментов диагностики достижений российского образования. </w:t>
      </w:r>
    </w:p>
    <w:p w:rsidR="00861C6E" w:rsidRPr="00FC0CBA" w:rsidRDefault="00861C6E" w:rsidP="00FC0CBA">
      <w:pPr>
        <w:pStyle w:val="af3"/>
        <w:shd w:val="clear" w:color="auto" w:fill="auto"/>
        <w:spacing w:line="360" w:lineRule="auto"/>
        <w:ind w:firstLine="709"/>
        <w:rPr>
          <w:rFonts w:eastAsia="Times New Roman"/>
          <w:lang w:val="ru-RU" w:eastAsia="ru-RU" w:bidi="ar-SA"/>
        </w:rPr>
      </w:pPr>
      <w:r w:rsidRPr="00FC0CBA">
        <w:rPr>
          <w:lang w:val="ru-RU"/>
        </w:rPr>
        <w:lastRenderedPageBreak/>
        <w:t xml:space="preserve">В современном мире на государственном уровне стали заботиться о повышении квалификации педагогов. В Российской Федерации с 1 января 2017 года вступает в силу </w:t>
      </w:r>
      <w:hyperlink r:id="rId7" w:history="1">
        <w:r w:rsidRPr="00FC0CBA">
          <w:rPr>
            <w:rStyle w:val="af5"/>
            <w:color w:val="auto"/>
            <w:spacing w:val="2"/>
            <w:u w:val="none"/>
            <w:lang w:val="ru-RU"/>
          </w:rPr>
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</w:r>
      </w:hyperlink>
      <w:r w:rsidRPr="00FC0CBA">
        <w:rPr>
          <w:lang w:val="ru-RU"/>
        </w:rPr>
        <w:t>».</w:t>
      </w:r>
      <w:r w:rsidRPr="00FC0CBA">
        <w:rPr>
          <w:lang w:val="ru-RU"/>
        </w:rPr>
        <w:tab/>
      </w:r>
      <w:r w:rsidR="00FC0CBA">
        <w:rPr>
          <w:lang w:val="ru-RU"/>
        </w:rPr>
        <w:t xml:space="preserve"> [2</w:t>
      </w:r>
      <w:r w:rsidR="00FC0CBA" w:rsidRPr="00FC0CBA">
        <w:rPr>
          <w:lang w:val="ru-RU"/>
        </w:rPr>
        <w:t>,.</w:t>
      </w:r>
      <w:r w:rsidR="00FC0CBA">
        <w:rPr>
          <w:lang w:val="ru-RU"/>
        </w:rPr>
        <w:t>23</w:t>
      </w:r>
      <w:r w:rsidR="00FC0CBA" w:rsidRPr="00FC0CBA">
        <w:rPr>
          <w:lang w:val="ru-RU"/>
        </w:rPr>
        <w:t xml:space="preserve">]  </w:t>
      </w:r>
      <w:r w:rsidR="00FC0CBA">
        <w:rPr>
          <w:lang w:val="ru-RU"/>
        </w:rPr>
        <w:t xml:space="preserve">   </w:t>
      </w:r>
      <w:r w:rsidR="00FC0CBA">
        <w:rPr>
          <w:rFonts w:eastAsia="Times New Roman"/>
          <w:lang w:val="ru-RU" w:eastAsia="ru-RU" w:bidi="ar-SA"/>
        </w:rPr>
        <w:t xml:space="preserve">Причиной </w:t>
      </w:r>
      <w:r w:rsidRPr="00FC0CBA">
        <w:rPr>
          <w:rFonts w:eastAsia="Times New Roman"/>
          <w:lang w:val="ru-RU" w:eastAsia="ru-RU" w:bidi="ar-SA"/>
        </w:rPr>
        <w:t xml:space="preserve">для введения профессиональных стандартов послужило неудовлетворительное положение, сложившееся при определении квалификации, которую должны иметь работники в тех областях, которым государство уделяет особое внимание. </w:t>
      </w:r>
      <w:r w:rsidR="007A66BE" w:rsidRPr="00FC0CBA">
        <w:rPr>
          <w:rFonts w:eastAsia="Times New Roman"/>
          <w:lang w:val="ru-RU" w:eastAsia="ru-RU" w:bidi="ar-SA"/>
        </w:rPr>
        <w:t xml:space="preserve"> </w:t>
      </w:r>
      <w:r w:rsidRPr="00FC0CBA">
        <w:rPr>
          <w:rFonts w:eastAsia="Times New Roman"/>
          <w:lang w:val="ru-RU" w:eastAsia="ru-RU" w:bidi="ar-SA"/>
        </w:rPr>
        <w:t>Для того чтобы исправить сложившуюся ситуацию государство и лично президент считают необходимым утверждением общеобязательных стандартов для тех, кто работает в педагогической области. Введение профессиональных стандартов для педагогических работников позволит решить сразу несколько вопросов:</w:t>
      </w:r>
    </w:p>
    <w:p w:rsidR="00861C6E" w:rsidRPr="00FC0CBA" w:rsidRDefault="00861C6E" w:rsidP="00FC0CBA">
      <w:pPr>
        <w:pStyle w:val="af3"/>
        <w:numPr>
          <w:ilvl w:val="0"/>
          <w:numId w:val="4"/>
        </w:numPr>
        <w:shd w:val="clear" w:color="auto" w:fill="auto"/>
        <w:spacing w:line="360" w:lineRule="auto"/>
        <w:rPr>
          <w:rFonts w:eastAsia="Times New Roman"/>
          <w:lang w:val="ru-RU" w:eastAsia="ru-RU" w:bidi="ar-SA"/>
        </w:rPr>
      </w:pPr>
      <w:r w:rsidRPr="00FC0CBA">
        <w:rPr>
          <w:rFonts w:eastAsia="Times New Roman"/>
          <w:lang w:val="ru-RU" w:eastAsia="ru-RU" w:bidi="ar-SA"/>
        </w:rPr>
        <w:t>Точно определить, какую именно квалификацию должен иметь педагог.</w:t>
      </w:r>
    </w:p>
    <w:p w:rsidR="00861C6E" w:rsidRPr="00FC0CBA" w:rsidRDefault="00861C6E" w:rsidP="00FC0CB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C0CB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Обеспечить нужную подготовку будущих работников этой области.</w:t>
      </w:r>
    </w:p>
    <w:p w:rsidR="00861C6E" w:rsidRPr="00FC0CBA" w:rsidRDefault="00861C6E" w:rsidP="00FC0CB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C0CB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Уведомить педагогов о требованиях, которые будут к ним применяться.</w:t>
      </w:r>
    </w:p>
    <w:p w:rsidR="00861C6E" w:rsidRPr="00FC0CBA" w:rsidRDefault="00861C6E" w:rsidP="00FC0CB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C0CB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Привлечь самих учителей, воспитателей и преподавателей к повышению уровня образования в России.</w:t>
      </w:r>
    </w:p>
    <w:p w:rsidR="00861C6E" w:rsidRPr="00FC0CBA" w:rsidRDefault="00861C6E" w:rsidP="00FC0CBA">
      <w:pPr>
        <w:pStyle w:val="af3"/>
        <w:shd w:val="clear" w:color="auto" w:fill="auto"/>
        <w:spacing w:line="360" w:lineRule="auto"/>
        <w:ind w:firstLine="709"/>
        <w:rPr>
          <w:lang w:val="ru-RU"/>
        </w:rPr>
      </w:pPr>
      <w:r w:rsidRPr="00FC0CBA">
        <w:rPr>
          <w:rFonts w:eastAsia="Times New Roman"/>
          <w:lang w:val="ru-RU" w:eastAsia="ru-RU" w:bidi="ar-SA"/>
        </w:rPr>
        <w:t xml:space="preserve">Для гарантии </w:t>
      </w:r>
      <w:r w:rsidRPr="00FC0CBA">
        <w:rPr>
          <w:lang w:val="ru-RU"/>
        </w:rPr>
        <w:t xml:space="preserve">конкурентоспособности образовательного учреждения выделяют внутренние и внешние факторы. К внешним факторам относят – формальные правила деятельности региональном, национальном или мировом рынке. Они не поддаются воздействию со стороны образовательного учреждения, но их необходимо учитывать в оценке конкурентоспособности и в выборе конкурентной стратегии. К внутренним факторам относят - возможности по обеспечению собственной конкурентоспособности (стратегический потенциал). Внутренние факторы очень быстро должны реагировать на изменения внешней среды. Государственные образовательные стандарты и программы определяют содержание обучения. Но на качество предоставления образовательных услуг влияние оказывают методы и средства обучения, которые используют педагоги. Таким образом, именно </w:t>
      </w:r>
      <w:r w:rsidRPr="00FC0CBA">
        <w:rPr>
          <w:lang w:val="ru-RU"/>
        </w:rPr>
        <w:lastRenderedPageBreak/>
        <w:t xml:space="preserve">профессионализм преподавателей, их владение современными методами и средствами обучения оказывает влияние на качество образовательных услуг. Но не бывает технологий без средств обучения: материально-техническая составляющая имеет огромное значение. На качество кадрового, производственного, информационного составляющего оказывает влияние финансовый потенциал, который состоит из государственных и собственных ресурсов. </w:t>
      </w:r>
    </w:p>
    <w:p w:rsidR="00861C6E" w:rsidRPr="00FC0CBA" w:rsidRDefault="00861C6E" w:rsidP="00FC0CBA">
      <w:pPr>
        <w:pStyle w:val="af3"/>
        <w:shd w:val="clear" w:color="auto" w:fill="auto"/>
        <w:spacing w:line="360" w:lineRule="auto"/>
        <w:ind w:firstLine="709"/>
        <w:rPr>
          <w:lang w:val="ru-RU"/>
        </w:rPr>
      </w:pPr>
      <w:r w:rsidRPr="00FC0CBA">
        <w:rPr>
          <w:lang w:val="ru-RU"/>
        </w:rPr>
        <w:t>Показателями конкурентоспособности образовательных услуг могут быть следующие подгруппы:</w:t>
      </w:r>
    </w:p>
    <w:p w:rsidR="00861C6E" w:rsidRPr="00FC0CBA" w:rsidRDefault="00861C6E" w:rsidP="00FC0CBA">
      <w:pPr>
        <w:pStyle w:val="af3"/>
        <w:numPr>
          <w:ilvl w:val="0"/>
          <w:numId w:val="2"/>
        </w:numPr>
        <w:shd w:val="clear" w:color="auto" w:fill="auto"/>
        <w:tabs>
          <w:tab w:val="left" w:pos="1096"/>
        </w:tabs>
        <w:spacing w:line="360" w:lineRule="auto"/>
        <w:ind w:firstLine="709"/>
        <w:rPr>
          <w:lang w:val="ru-RU"/>
        </w:rPr>
      </w:pPr>
      <w:r w:rsidRPr="00FC0CBA">
        <w:rPr>
          <w:lang w:val="ru-RU"/>
        </w:rPr>
        <w:t>Потребительские показатели: показывают возможность реализации образовательных услуг. Для образовательной услуги в области среднего общего образования к нормативным параметрам следует отнести наличие лицензии на образовательную деятельность, соответствие учебного плана действующему Государственному образовательному стандарту.</w:t>
      </w:r>
    </w:p>
    <w:p w:rsidR="00861C6E" w:rsidRPr="00FC0CBA" w:rsidRDefault="00861C6E" w:rsidP="00FC0CBA">
      <w:pPr>
        <w:pStyle w:val="af3"/>
        <w:numPr>
          <w:ilvl w:val="0"/>
          <w:numId w:val="2"/>
        </w:numPr>
        <w:shd w:val="clear" w:color="auto" w:fill="auto"/>
        <w:tabs>
          <w:tab w:val="left" w:pos="1120"/>
        </w:tabs>
        <w:spacing w:line="360" w:lineRule="auto"/>
        <w:ind w:firstLine="709"/>
        <w:rPr>
          <w:lang w:val="ru-RU"/>
        </w:rPr>
      </w:pPr>
      <w:r w:rsidRPr="00FC0CBA">
        <w:rPr>
          <w:lang w:val="ru-RU"/>
        </w:rPr>
        <w:t>Экономические факторы: цена образовательной услуги, выражающая полезность образовательной услуги для конкретного потребителя на образовательном рынке.</w:t>
      </w:r>
    </w:p>
    <w:p w:rsidR="00861C6E" w:rsidRPr="00FC0CBA" w:rsidRDefault="00861C6E" w:rsidP="00FC0CBA">
      <w:pPr>
        <w:pStyle w:val="af3"/>
        <w:numPr>
          <w:ilvl w:val="0"/>
          <w:numId w:val="2"/>
        </w:numPr>
        <w:shd w:val="clear" w:color="auto" w:fill="auto"/>
        <w:tabs>
          <w:tab w:val="left" w:pos="1110"/>
        </w:tabs>
        <w:spacing w:line="360" w:lineRule="auto"/>
        <w:ind w:firstLine="709"/>
      </w:pPr>
      <w:r w:rsidRPr="00FC0CBA">
        <w:rPr>
          <w:lang w:val="ru-RU"/>
        </w:rPr>
        <w:t xml:space="preserve">Организационные факторы: доверие к учебному заведению </w:t>
      </w:r>
      <w:r w:rsidRPr="00FC0CBA">
        <w:t>(имидж), доступность образовательной услуги.</w:t>
      </w:r>
    </w:p>
    <w:p w:rsidR="00861C6E" w:rsidRPr="00FC0CBA" w:rsidRDefault="00861C6E" w:rsidP="00FC0CBA">
      <w:pPr>
        <w:pStyle w:val="af3"/>
        <w:shd w:val="clear" w:color="auto" w:fill="auto"/>
        <w:tabs>
          <w:tab w:val="left" w:pos="1110"/>
        </w:tabs>
        <w:spacing w:line="360" w:lineRule="auto"/>
        <w:ind w:left="709"/>
        <w:rPr>
          <w:lang w:val="ru-RU"/>
        </w:rPr>
      </w:pPr>
      <w:r w:rsidRPr="00FC0CBA">
        <w:rPr>
          <w:lang w:val="ru-RU"/>
        </w:rPr>
        <w:t>Показателями конкурентоспособности могут выступать:</w:t>
      </w:r>
    </w:p>
    <w:p w:rsidR="00861C6E" w:rsidRPr="00FC0CBA" w:rsidRDefault="00861C6E" w:rsidP="00FC0CBA">
      <w:pPr>
        <w:pStyle w:val="af3"/>
        <w:shd w:val="clear" w:color="auto" w:fill="auto"/>
        <w:tabs>
          <w:tab w:val="left" w:pos="1110"/>
        </w:tabs>
        <w:spacing w:line="360" w:lineRule="auto"/>
        <w:rPr>
          <w:lang w:val="ru-RU"/>
        </w:rPr>
      </w:pPr>
      <w:r w:rsidRPr="00FC0CBA">
        <w:rPr>
          <w:lang w:val="ru-RU"/>
        </w:rPr>
        <w:t>- централизованные стандарты и нормативы (ФГОСы,  оценочные модели). Этот фактор ориентирован на государственные структуры, которые регулируют образовательную сферу, связанные с лицензированием, государственной аккредитацией, рейтинговым сравнением различных учебных заведений, централизованным распределением финансовых ресурсов и оказанием директивного влияния на образовательные учреждения (централизованная система управления образованием).</w:t>
      </w:r>
    </w:p>
    <w:p w:rsidR="00461E2B" w:rsidRPr="00FC0CBA" w:rsidRDefault="00861C6E" w:rsidP="00FC0CBA">
      <w:pPr>
        <w:pStyle w:val="af3"/>
        <w:shd w:val="clear" w:color="auto" w:fill="auto"/>
        <w:tabs>
          <w:tab w:val="left" w:pos="1110"/>
        </w:tabs>
        <w:spacing w:line="360" w:lineRule="auto"/>
        <w:rPr>
          <w:lang w:val="ru-RU"/>
        </w:rPr>
      </w:pPr>
      <w:r w:rsidRPr="00FC0CBA">
        <w:rPr>
          <w:lang w:val="ru-RU"/>
        </w:rPr>
        <w:t xml:space="preserve">- самооценка учебных заведений или профессиональная (общественная) оценка. Этот фактор ориентирован на сравнительные показатели, которые должны убедить потребителей услуг в качественном сервисе  и других показателях, </w:t>
      </w:r>
      <w:r w:rsidRPr="00FC0CBA">
        <w:rPr>
          <w:lang w:val="ru-RU"/>
        </w:rPr>
        <w:lastRenderedPageBreak/>
        <w:t xml:space="preserve">касающихся различных аспектов деятельности образовательного учреждения. Это необходимо для убеждения потенциальных потребителей, для привлечения дополнительных ресурсов и инвестиций. </w:t>
      </w:r>
    </w:p>
    <w:p w:rsidR="00861C6E" w:rsidRDefault="00461E2B" w:rsidP="00FC0CBA">
      <w:pPr>
        <w:pStyle w:val="af3"/>
        <w:shd w:val="clear" w:color="auto" w:fill="auto"/>
        <w:tabs>
          <w:tab w:val="left" w:pos="1110"/>
        </w:tabs>
        <w:spacing w:line="360" w:lineRule="auto"/>
        <w:rPr>
          <w:lang w:val="ru-RU"/>
        </w:rPr>
      </w:pPr>
      <w:r w:rsidRPr="00FC0CBA">
        <w:rPr>
          <w:lang w:val="ru-RU"/>
        </w:rPr>
        <w:t xml:space="preserve">          </w:t>
      </w:r>
      <w:r w:rsidR="00861C6E" w:rsidRPr="00FC0CBA">
        <w:rPr>
          <w:lang w:val="ru-RU"/>
        </w:rPr>
        <w:t>Таким образом, для родителей самыми важными показателями конкурентоспособности среднеобразовательных учреждений являются: доступность образовательных услуг; месторасположение; безопасность; режим работы образовательного учреждения; организация и качество питания и медицинского обслуживания; сохранение здоровья ребенка; программы и профили обучения; обеспеченность учебниками; качество подготовки учащихся; взаимоотношения в коллективе; занятость учащихся во второй половине дня, работа группы продленного дня; уровень преступности; возможности для получения профессионального образования. Для социальных партнёров такими показателями будут выступать: успехи системы образования; достижения и</w:t>
      </w:r>
      <w:bookmarkStart w:id="0" w:name="bookmark9"/>
      <w:r w:rsidR="00861C6E" w:rsidRPr="00FC0CBA">
        <w:rPr>
          <w:rStyle w:val="330"/>
          <w:lang w:val="ru-RU"/>
        </w:rPr>
        <w:t xml:space="preserve"> результаты, работающие на имидж социального партнера; расходование средств; реальные возможности сотрудничества.</w:t>
      </w:r>
      <w:bookmarkEnd w:id="0"/>
      <w:r w:rsidR="00861C6E" w:rsidRPr="00FC0CBA">
        <w:rPr>
          <w:rStyle w:val="330"/>
          <w:lang w:val="ru-RU"/>
        </w:rPr>
        <w:t xml:space="preserve"> Любые недостатки и преимущества учебного заведения являются оценочными критериями </w:t>
      </w:r>
      <w:r w:rsidR="00861C6E" w:rsidRPr="00FC0CBA">
        <w:rPr>
          <w:lang w:val="ru-RU"/>
        </w:rPr>
        <w:t xml:space="preserve">конкурентоспособности учебного заведения. Они всегда носят относительный характер т.к. выявляются и оцениваются в процессе сравнения. </w:t>
      </w:r>
      <w:r w:rsidR="00861C6E" w:rsidRPr="00FC0CBA">
        <w:rPr>
          <w:rStyle w:val="330"/>
          <w:lang w:val="ru-RU"/>
        </w:rPr>
        <w:t>А</w:t>
      </w:r>
      <w:r w:rsidR="00861C6E" w:rsidRPr="00FC0CBA">
        <w:rPr>
          <w:lang w:val="ru-RU"/>
        </w:rPr>
        <w:t xml:space="preserve">нализ различных факторов конкурентоспособности образовательных учреждений позволил сформировать систему факторов обеспечения конкурентоспособности учреждений среднего общего образования, который, для наглядности восприятия, показана на рисунке 1.   </w:t>
      </w:r>
    </w:p>
    <w:p w:rsidR="00FC0CBA" w:rsidRPr="00FC0CBA" w:rsidRDefault="00FC0CBA" w:rsidP="00FC0CBA">
      <w:pPr>
        <w:pStyle w:val="af3"/>
        <w:shd w:val="clear" w:color="auto" w:fill="auto"/>
        <w:tabs>
          <w:tab w:val="left" w:pos="1110"/>
        </w:tabs>
        <w:spacing w:line="360" w:lineRule="auto"/>
        <w:rPr>
          <w:lang w:val="ru-RU"/>
        </w:rPr>
      </w:pPr>
    </w:p>
    <w:p w:rsidR="00861C6E" w:rsidRPr="008274FF" w:rsidRDefault="008274FF" w:rsidP="008274FF">
      <w:pPr>
        <w:pStyle w:val="331"/>
        <w:keepNext/>
        <w:keepLines/>
        <w:shd w:val="clear" w:color="auto" w:fill="auto"/>
        <w:spacing w:after="0" w:line="360" w:lineRule="auto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20130" cy="5364172"/>
            <wp:effectExtent l="19050" t="0" r="0" b="0"/>
            <wp:docPr id="1" name="Рисунок 1" descr="C:\Users\1\Desktop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6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C6E" w:rsidRPr="00FC0CBA" w:rsidRDefault="00861C6E" w:rsidP="00FC0CBA">
      <w:pPr>
        <w:pStyle w:val="331"/>
        <w:keepNext/>
        <w:keepLines/>
        <w:shd w:val="clear" w:color="auto" w:fill="auto"/>
        <w:spacing w:after="0" w:line="360" w:lineRule="auto"/>
        <w:rPr>
          <w:lang w:val="ru-RU"/>
        </w:rPr>
      </w:pPr>
      <w:r w:rsidRPr="00FC0CBA">
        <w:rPr>
          <w:lang w:val="ru-RU"/>
        </w:rPr>
        <w:t>Рисунок 1 – Система факторов конкурентоспособности образовательных учреждений.</w:t>
      </w:r>
    </w:p>
    <w:p w:rsidR="00861C6E" w:rsidRPr="00FC0CBA" w:rsidRDefault="00861C6E" w:rsidP="00FC0CBA">
      <w:pPr>
        <w:pStyle w:val="af3"/>
        <w:shd w:val="clear" w:color="auto" w:fill="auto"/>
        <w:spacing w:line="360" w:lineRule="auto"/>
        <w:ind w:firstLine="709"/>
        <w:rPr>
          <w:lang w:val="ru-RU"/>
        </w:rPr>
      </w:pPr>
      <w:r w:rsidRPr="00FC0CBA">
        <w:rPr>
          <w:bCs/>
          <w:lang w:val="ru-RU"/>
        </w:rPr>
        <w:t xml:space="preserve">Факторы базируются на возможностях образовательной организации. Этими возможностями выступают: </w:t>
      </w:r>
      <w:r w:rsidRPr="00FC0CBA">
        <w:rPr>
          <w:lang w:val="ru-RU"/>
        </w:rPr>
        <w:t>материальный потенциал;  технологии оказания услуг; информационный потенциал; финансовый потенциал; человеческий потенциал; организационный потенциал; предпринимательский потенциал, включающий в себя деловые способности сотрудников и менеджеров («потенциал предприимчивости»).</w:t>
      </w:r>
      <w:r w:rsidR="00FC0CBA">
        <w:rPr>
          <w:lang w:val="ru-RU"/>
        </w:rPr>
        <w:t xml:space="preserve"> [3</w:t>
      </w:r>
      <w:r w:rsidR="00FC0CBA" w:rsidRPr="00FC0CBA">
        <w:rPr>
          <w:lang w:val="ru-RU"/>
        </w:rPr>
        <w:t xml:space="preserve">, .109]  </w:t>
      </w:r>
      <w:r w:rsidRPr="00FC0CBA">
        <w:rPr>
          <w:lang w:val="ru-RU"/>
        </w:rPr>
        <w:t>В данной схеме выделен «конкурентный потенциал» - это то, что выступает конкурентным преимуществом над соперниками, а именно человеческий, организационный, предпринимательский потенциал.</w:t>
      </w:r>
      <w:r w:rsidR="007A66BE" w:rsidRPr="00FC0CBA">
        <w:rPr>
          <w:lang w:val="ru-RU"/>
        </w:rPr>
        <w:t xml:space="preserve"> </w:t>
      </w:r>
      <w:r w:rsidRPr="00FC0CBA">
        <w:rPr>
          <w:lang w:val="ru-RU"/>
        </w:rPr>
        <w:t xml:space="preserve">Кадровая политика держится на взаимодействии педагогов и административных работников образовательного </w:t>
      </w:r>
      <w:r w:rsidRPr="00FC0CBA">
        <w:rPr>
          <w:lang w:val="ru-RU"/>
        </w:rPr>
        <w:lastRenderedPageBreak/>
        <w:t xml:space="preserve">учреждения. Организационный потенциал включает в себя систему организационной структуры, состава ее руководящих органов, совокупность принципов, типов, методов, приемов, способов управления деятельностью. </w:t>
      </w:r>
    </w:p>
    <w:p w:rsidR="00861C6E" w:rsidRPr="00FC0CBA" w:rsidRDefault="00861C6E" w:rsidP="00FC0CBA">
      <w:pPr>
        <w:pStyle w:val="af3"/>
        <w:shd w:val="clear" w:color="auto" w:fill="auto"/>
        <w:spacing w:line="360" w:lineRule="auto"/>
        <w:ind w:firstLine="709"/>
        <w:rPr>
          <w:lang w:val="ru-RU"/>
        </w:rPr>
      </w:pPr>
      <w:r w:rsidRPr="00FC0CBA">
        <w:rPr>
          <w:lang w:val="ru-RU"/>
        </w:rPr>
        <w:t>Под «предпринимательским потенциалом» понимается совокупность инновационных идей и способов их реализации посредством эффективных коммуникаций как внутри организации, так и во внешней среде.</w:t>
      </w:r>
    </w:p>
    <w:p w:rsidR="00861C6E" w:rsidRPr="00FC0CBA" w:rsidRDefault="00861C6E" w:rsidP="00FC0CBA">
      <w:pPr>
        <w:pStyle w:val="af3"/>
        <w:shd w:val="clear" w:color="auto" w:fill="auto"/>
        <w:spacing w:line="360" w:lineRule="auto"/>
        <w:ind w:firstLine="709"/>
        <w:rPr>
          <w:lang w:val="ru-RU"/>
        </w:rPr>
      </w:pPr>
      <w:r w:rsidRPr="00FC0CBA">
        <w:rPr>
          <w:lang w:val="ru-RU"/>
        </w:rPr>
        <w:t>Конечно,  наиболее важными показателями в данной системе являются:</w:t>
      </w:r>
    </w:p>
    <w:p w:rsidR="00861C6E" w:rsidRPr="00FC0CBA" w:rsidRDefault="00861C6E" w:rsidP="00FC0CBA">
      <w:pPr>
        <w:pStyle w:val="af3"/>
        <w:numPr>
          <w:ilvl w:val="0"/>
          <w:numId w:val="3"/>
        </w:numPr>
        <w:shd w:val="clear" w:color="auto" w:fill="auto"/>
        <w:tabs>
          <w:tab w:val="left" w:pos="750"/>
        </w:tabs>
        <w:spacing w:line="360" w:lineRule="auto"/>
        <w:ind w:firstLine="709"/>
        <w:rPr>
          <w:lang w:val="ru-RU"/>
        </w:rPr>
      </w:pPr>
      <w:r w:rsidRPr="00FC0CBA">
        <w:rPr>
          <w:rStyle w:val="12"/>
          <w:lang w:val="ru-RU"/>
        </w:rPr>
        <w:t>по блоку «Потребительская ценность»:</w:t>
      </w:r>
      <w:r w:rsidRPr="00FC0CBA">
        <w:rPr>
          <w:lang w:val="ru-RU"/>
        </w:rPr>
        <w:t xml:space="preserve"> качество знаний, здоровье детей, их успешность, потенциал развития;</w:t>
      </w:r>
    </w:p>
    <w:p w:rsidR="00861C6E" w:rsidRPr="00FC0CBA" w:rsidRDefault="00861C6E" w:rsidP="00FC0CBA">
      <w:pPr>
        <w:pStyle w:val="af3"/>
        <w:numPr>
          <w:ilvl w:val="0"/>
          <w:numId w:val="3"/>
        </w:numPr>
        <w:shd w:val="clear" w:color="auto" w:fill="auto"/>
        <w:tabs>
          <w:tab w:val="left" w:pos="750"/>
        </w:tabs>
        <w:spacing w:line="360" w:lineRule="auto"/>
        <w:ind w:firstLine="709"/>
        <w:rPr>
          <w:lang w:val="ru-RU"/>
        </w:rPr>
      </w:pPr>
      <w:r w:rsidRPr="00FC0CBA">
        <w:rPr>
          <w:rStyle w:val="12"/>
          <w:lang w:val="ru-RU"/>
        </w:rPr>
        <w:t>по блоку «Функциональная ценность»:</w:t>
      </w:r>
      <w:r w:rsidRPr="00FC0CBA">
        <w:rPr>
          <w:lang w:val="ru-RU"/>
        </w:rPr>
        <w:t xml:space="preserve"> интеграция с учреждениями профессионального образования и дополнительного образования детей; проекты и программы, поддерживаемые партнерами, спонсорами, фондами; членство в ассоциациях и профессиональных объединениях;</w:t>
      </w:r>
    </w:p>
    <w:p w:rsidR="00861C6E" w:rsidRPr="00FC0CBA" w:rsidRDefault="00861C6E" w:rsidP="00FC0CBA">
      <w:pPr>
        <w:pStyle w:val="af3"/>
        <w:numPr>
          <w:ilvl w:val="0"/>
          <w:numId w:val="3"/>
        </w:numPr>
        <w:shd w:val="clear" w:color="auto" w:fill="auto"/>
        <w:tabs>
          <w:tab w:val="left" w:pos="750"/>
        </w:tabs>
        <w:spacing w:line="360" w:lineRule="auto"/>
        <w:ind w:firstLine="709"/>
        <w:rPr>
          <w:lang w:val="ru-RU"/>
        </w:rPr>
      </w:pPr>
      <w:r w:rsidRPr="00FC0CBA">
        <w:rPr>
          <w:rStyle w:val="12"/>
          <w:lang w:val="ru-RU"/>
        </w:rPr>
        <w:t>по блоку «Общественная ценность»:</w:t>
      </w:r>
      <w:r w:rsidRPr="00FC0CBA">
        <w:rPr>
          <w:lang w:val="ru-RU"/>
        </w:rPr>
        <w:t xml:space="preserve"> государственная аккредитация; соответствие учебных планов ФГОС; направление и эффективность использования бюджетных средств.</w:t>
      </w:r>
    </w:p>
    <w:p w:rsidR="00861C6E" w:rsidRPr="00FC0CBA" w:rsidRDefault="00861C6E" w:rsidP="00FC0CBA">
      <w:pPr>
        <w:pStyle w:val="af3"/>
        <w:shd w:val="clear" w:color="auto" w:fill="auto"/>
        <w:spacing w:line="360" w:lineRule="auto"/>
        <w:ind w:firstLine="708"/>
        <w:rPr>
          <w:lang w:val="ru-RU"/>
        </w:rPr>
      </w:pPr>
      <w:r w:rsidRPr="00FC0CBA">
        <w:rPr>
          <w:lang w:val="ru-RU"/>
        </w:rPr>
        <w:t xml:space="preserve">Итогом конкурентных преимуществ будет выступать степень соответствия образовательной деятельности потребительским ожиданиям, то есть признание потребительской ценности образовательного учреждения.     </w:t>
      </w:r>
    </w:p>
    <w:p w:rsidR="00861C6E" w:rsidRPr="00FC0CBA" w:rsidRDefault="00861C6E" w:rsidP="00FC0CBA">
      <w:pPr>
        <w:pStyle w:val="af3"/>
        <w:shd w:val="clear" w:color="auto" w:fill="auto"/>
        <w:spacing w:line="360" w:lineRule="auto"/>
        <w:ind w:firstLine="708"/>
        <w:rPr>
          <w:lang w:val="ru-RU"/>
        </w:rPr>
      </w:pPr>
      <w:r w:rsidRPr="00FC0CBA">
        <w:rPr>
          <w:lang w:val="ru-RU"/>
        </w:rPr>
        <w:t>Также важным показателем будет являться способность образовательного учреждения удовлетворять партнерские ожидания, которые оцениваются по следующим критериям: высокая репутация; прогнозируемость поведения; личные качества руководителей образовательного учреждения, ответственность в выполнении деловых обязательств, инициативность, способность к поиску и нахождению компромиссных решений; способность положительно влиять на других контрагентов, определяется как функциональная ценность образовательного учреждения.</w:t>
      </w:r>
      <w:r w:rsidR="007A66BE" w:rsidRPr="00FC0CBA">
        <w:rPr>
          <w:lang w:val="ru-RU"/>
        </w:rPr>
        <w:t xml:space="preserve"> </w:t>
      </w:r>
      <w:r w:rsidRPr="00FC0CBA">
        <w:rPr>
          <w:lang w:val="ru-RU"/>
        </w:rPr>
        <w:t>Не менее важны показатели как ответственность, добросовестность и законопослушность организации, ориентация деятельности на социальные ожидания общества; способность осуществлять деятельность, отражающую объективные тенденции научно-</w:t>
      </w:r>
      <w:r w:rsidRPr="00FC0CBA">
        <w:rPr>
          <w:lang w:val="ru-RU"/>
        </w:rPr>
        <w:lastRenderedPageBreak/>
        <w:t xml:space="preserve">технического и общественно-экономического прогресса, участие в общественно значимых мероприятиях. </w:t>
      </w:r>
      <w:r w:rsidR="007A66BE" w:rsidRPr="00FC0CBA">
        <w:rPr>
          <w:lang w:val="ru-RU"/>
        </w:rPr>
        <w:t xml:space="preserve"> </w:t>
      </w:r>
      <w:r w:rsidRPr="00FC0CBA">
        <w:rPr>
          <w:lang w:val="ru-RU"/>
        </w:rPr>
        <w:t>Итак, факторы  конкурентоспособности образовательного учреждения включает в себя  ресурсный потенциал и результирующие показатели деятельности. Выделено три блока факторов, которые определяют результирующую оценку конкурентных преимуществ образовательного учреждения по степени их признания заинтересованными лицами (потребителями, деловыми партнерами и общественностью, включая органы государственного управления): потребительская ценность; функциональная ценность; общественная ценность.</w:t>
      </w:r>
    </w:p>
    <w:p w:rsidR="00861C6E" w:rsidRPr="00FC0CBA" w:rsidRDefault="00861C6E" w:rsidP="00FC0CBA">
      <w:pPr>
        <w:pStyle w:val="af3"/>
        <w:shd w:val="clear" w:color="auto" w:fill="auto"/>
        <w:spacing w:line="360" w:lineRule="auto"/>
        <w:ind w:firstLine="709"/>
        <w:rPr>
          <w:lang w:val="ru-RU"/>
        </w:rPr>
      </w:pPr>
      <w:r w:rsidRPr="00FC0CBA">
        <w:rPr>
          <w:lang w:val="ru-RU"/>
        </w:rPr>
        <w:t>Такая оценка факторов конкурентоспособности образовательного учреждения имеет практический интерес, предоставляет информацию для различных групп пользователей; включает в себя как общие показатели, характерные для любого образовательного учреждения, так и показатели, характеризующие специфику той или иной группы образовательных учреждений; является информационно доступной для сопоставления с аналогичными параметрами деятельности конкурирующих учреждений.</w:t>
      </w:r>
    </w:p>
    <w:p w:rsidR="00FC0CBA" w:rsidRDefault="00FC0CBA" w:rsidP="00FC0CB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FC0CBA" w:rsidRDefault="00FC0CBA" w:rsidP="00FC0CB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B7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Список используемой литературы: </w:t>
      </w:r>
    </w:p>
    <w:p w:rsidR="00FC0CBA" w:rsidRPr="00FC0CBA" w:rsidRDefault="00FC0CBA" w:rsidP="00FC0CBA">
      <w:pPr>
        <w:pStyle w:val="110"/>
        <w:numPr>
          <w:ilvl w:val="0"/>
          <w:numId w:val="7"/>
        </w:numPr>
      </w:pPr>
      <w:r w:rsidRPr="00FC0CBA">
        <w:t xml:space="preserve">Жебровская О.О. </w:t>
      </w:r>
      <w:r w:rsidRPr="00FC0CBA">
        <w:rPr>
          <w:rFonts w:eastAsia="Times New Roman"/>
          <w:lang w:eastAsia="ru-RU" w:bidi="ar-SA"/>
        </w:rPr>
        <w:t xml:space="preserve">Международные сравнительные исследования PISA </w:t>
      </w:r>
      <w:r w:rsidRPr="00FC0CBA">
        <w:rPr>
          <w:shd w:val="clear" w:color="auto" w:fill="FFFFFF"/>
        </w:rPr>
        <w:t xml:space="preserve">[Электронный ресурс] URL: </w:t>
      </w:r>
      <w:hyperlink r:id="rId9" w:history="1">
        <w:r w:rsidRPr="00FC0CBA">
          <w:rPr>
            <w:rStyle w:val="af5"/>
            <w:rFonts w:eastAsia="Times New Roman"/>
            <w:color w:val="auto"/>
            <w:u w:val="none"/>
            <w:lang w:eastAsia="ru-RU" w:bidi="ar-SA"/>
          </w:rPr>
          <w:t>http://www.myshared.ru/slide/468233</w:t>
        </w:r>
      </w:hyperlink>
      <w:r w:rsidRPr="00FC0CBA">
        <w:t xml:space="preserve"> </w:t>
      </w:r>
      <w:r w:rsidRPr="00FC0CBA">
        <w:rPr>
          <w:shd w:val="clear" w:color="auto" w:fill="FFFFFF"/>
        </w:rPr>
        <w:t>(дата обращения 12.05.2015 г.)</w:t>
      </w:r>
    </w:p>
    <w:p w:rsidR="00FC0CBA" w:rsidRPr="00FC0CBA" w:rsidRDefault="00FC0CBA" w:rsidP="00FC0CBA">
      <w:pPr>
        <w:pStyle w:val="110"/>
        <w:numPr>
          <w:ilvl w:val="0"/>
          <w:numId w:val="7"/>
        </w:numPr>
      </w:pPr>
      <w:r w:rsidRPr="00FC0CBA">
        <w:t>Письмо Минобрнауки России от 02.11.2015 № АК-3192/06 «О пилотном введении профессиональных стандартов».</w:t>
      </w:r>
    </w:p>
    <w:p w:rsidR="00FC0CBA" w:rsidRPr="00FC0CBA" w:rsidRDefault="00FC0CBA" w:rsidP="00FC0CBA">
      <w:pPr>
        <w:pStyle w:val="110"/>
        <w:numPr>
          <w:ilvl w:val="0"/>
          <w:numId w:val="7"/>
        </w:numPr>
      </w:pPr>
      <w:r w:rsidRPr="00FC0CBA">
        <w:t>Изотов М.А., Месхи Б.Ч. Инновационный интерфейс научно-образовательного процесса: сущность и перспективы развития// ж. Вестник Донского государственного технического университета – 2012- № 8(69) – С. 108- 115</w:t>
      </w:r>
    </w:p>
    <w:p w:rsidR="00FC0CBA" w:rsidRPr="00FC0CBA" w:rsidRDefault="00FC0CBA" w:rsidP="00FC0CBA">
      <w:pPr>
        <w:ind w:firstLine="708"/>
        <w:jc w:val="both"/>
        <w:rPr>
          <w:rFonts w:ascii="Tahoma" w:hAnsi="Tahoma" w:cs="Tahoma"/>
          <w:sz w:val="28"/>
          <w:szCs w:val="28"/>
          <w:shd w:val="clear" w:color="auto" w:fill="FFFFFF"/>
          <w:lang w:val="ru-RU"/>
        </w:rPr>
      </w:pPr>
    </w:p>
    <w:p w:rsidR="005658A5" w:rsidRPr="00FC0CBA" w:rsidRDefault="00FC0CBA" w:rsidP="00FC0CBA">
      <w:pPr>
        <w:pStyle w:val="110"/>
        <w:jc w:val="right"/>
        <w:rPr>
          <w:sz w:val="24"/>
          <w:shd w:val="clear" w:color="auto" w:fill="FFFFFF"/>
        </w:rPr>
      </w:pPr>
      <w:r w:rsidRPr="00A801BE">
        <w:rPr>
          <w:sz w:val="24"/>
          <w:shd w:val="clear" w:color="auto" w:fill="FFFFFF"/>
        </w:rPr>
        <w:t>Ю.А. Сергиенко, 201</w:t>
      </w:r>
      <w:r w:rsidR="00060E4F">
        <w:rPr>
          <w:sz w:val="24"/>
          <w:shd w:val="clear" w:color="auto" w:fill="FFFFFF"/>
        </w:rPr>
        <w:t>7</w:t>
      </w:r>
      <w:bookmarkStart w:id="1" w:name="_GoBack"/>
      <w:bookmarkEnd w:id="1"/>
    </w:p>
    <w:sectPr w:rsidR="005658A5" w:rsidRPr="00FC0CBA" w:rsidSect="007A66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A7" w:rsidRDefault="001E6AA7" w:rsidP="00861C6E">
      <w:pPr>
        <w:spacing w:after="0" w:line="240" w:lineRule="auto"/>
      </w:pPr>
      <w:r>
        <w:separator/>
      </w:r>
    </w:p>
  </w:endnote>
  <w:endnote w:type="continuationSeparator" w:id="0">
    <w:p w:rsidR="001E6AA7" w:rsidRDefault="001E6AA7" w:rsidP="0086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A7" w:rsidRDefault="001E6AA7" w:rsidP="00861C6E">
      <w:pPr>
        <w:spacing w:after="0" w:line="240" w:lineRule="auto"/>
      </w:pPr>
      <w:r>
        <w:separator/>
      </w:r>
    </w:p>
  </w:footnote>
  <w:footnote w:type="continuationSeparator" w:id="0">
    <w:p w:rsidR="001E6AA7" w:rsidRDefault="001E6AA7" w:rsidP="00861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37"/>
    <w:multiLevelType w:val="multilevel"/>
    <w:tmpl w:val="00000036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43"/>
    <w:multiLevelType w:val="multilevel"/>
    <w:tmpl w:val="0000004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37B2BC7"/>
    <w:multiLevelType w:val="hybridMultilevel"/>
    <w:tmpl w:val="4D3414D0"/>
    <w:lvl w:ilvl="0" w:tplc="84368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1A3AF3"/>
    <w:multiLevelType w:val="multilevel"/>
    <w:tmpl w:val="1C36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917842"/>
    <w:multiLevelType w:val="hybridMultilevel"/>
    <w:tmpl w:val="460A7946"/>
    <w:lvl w:ilvl="0" w:tplc="0C80E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C6E"/>
    <w:rsid w:val="00060E4F"/>
    <w:rsid w:val="000951C1"/>
    <w:rsid w:val="00117E4B"/>
    <w:rsid w:val="001E6AA7"/>
    <w:rsid w:val="002755DB"/>
    <w:rsid w:val="002C1F9C"/>
    <w:rsid w:val="004144B4"/>
    <w:rsid w:val="00461E2B"/>
    <w:rsid w:val="005658A5"/>
    <w:rsid w:val="006026D5"/>
    <w:rsid w:val="00643463"/>
    <w:rsid w:val="00734A09"/>
    <w:rsid w:val="007A66BE"/>
    <w:rsid w:val="008274FF"/>
    <w:rsid w:val="00850771"/>
    <w:rsid w:val="00861C6E"/>
    <w:rsid w:val="00DE53E6"/>
    <w:rsid w:val="00EE0695"/>
    <w:rsid w:val="00EF719D"/>
    <w:rsid w:val="00FC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8F0D"/>
  <w15:docId w15:val="{DC33C033-4AA0-46AB-8233-A043BC97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6E"/>
  </w:style>
  <w:style w:type="paragraph" w:styleId="1">
    <w:name w:val="heading 1"/>
    <w:basedOn w:val="a"/>
    <w:next w:val="a"/>
    <w:link w:val="10"/>
    <w:uiPriority w:val="9"/>
    <w:qFormat/>
    <w:rsid w:val="006026D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6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6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6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6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6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6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6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6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6D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026D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26D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26D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026D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026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026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026D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26D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026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026D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026D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026D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026D5"/>
    <w:rPr>
      <w:b/>
      <w:bCs/>
    </w:rPr>
  </w:style>
  <w:style w:type="character" w:styleId="a8">
    <w:name w:val="Emphasis"/>
    <w:uiPriority w:val="20"/>
    <w:qFormat/>
    <w:rsid w:val="006026D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026D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026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26D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26D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026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026D5"/>
    <w:rPr>
      <w:i/>
      <w:iCs/>
    </w:rPr>
  </w:style>
  <w:style w:type="character" w:styleId="ad">
    <w:name w:val="Subtle Emphasis"/>
    <w:uiPriority w:val="19"/>
    <w:qFormat/>
    <w:rsid w:val="006026D5"/>
    <w:rPr>
      <w:i/>
      <w:iCs/>
    </w:rPr>
  </w:style>
  <w:style w:type="character" w:styleId="ae">
    <w:name w:val="Intense Emphasis"/>
    <w:uiPriority w:val="21"/>
    <w:qFormat/>
    <w:rsid w:val="006026D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026D5"/>
    <w:rPr>
      <w:smallCaps/>
    </w:rPr>
  </w:style>
  <w:style w:type="character" w:styleId="af0">
    <w:name w:val="Intense Reference"/>
    <w:uiPriority w:val="32"/>
    <w:qFormat/>
    <w:rsid w:val="006026D5"/>
    <w:rPr>
      <w:b/>
      <w:bCs/>
      <w:smallCaps/>
    </w:rPr>
  </w:style>
  <w:style w:type="character" w:styleId="af1">
    <w:name w:val="Book Title"/>
    <w:basedOn w:val="a0"/>
    <w:uiPriority w:val="33"/>
    <w:qFormat/>
    <w:rsid w:val="006026D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026D5"/>
    <w:pPr>
      <w:outlineLvl w:val="9"/>
    </w:pPr>
  </w:style>
  <w:style w:type="character" w:customStyle="1" w:styleId="23">
    <w:name w:val="Основной текст (2) + Не полужирный"/>
    <w:basedOn w:val="a0"/>
    <w:uiPriority w:val="99"/>
    <w:rsid w:val="00861C6E"/>
    <w:rPr>
      <w:rFonts w:ascii="Times New Roman" w:hAnsi="Times New Roman" w:cs="Times New Roman"/>
      <w:spacing w:val="0"/>
      <w:sz w:val="28"/>
      <w:szCs w:val="28"/>
    </w:rPr>
  </w:style>
  <w:style w:type="character" w:customStyle="1" w:styleId="11">
    <w:name w:val="Основной текст Знак1"/>
    <w:basedOn w:val="a0"/>
    <w:link w:val="af3"/>
    <w:uiPriority w:val="99"/>
    <w:rsid w:val="00861C6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f3">
    <w:name w:val="Body Text"/>
    <w:basedOn w:val="a"/>
    <w:link w:val="11"/>
    <w:uiPriority w:val="99"/>
    <w:rsid w:val="00861C6E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uiPriority w:val="99"/>
    <w:semiHidden/>
    <w:rsid w:val="00861C6E"/>
  </w:style>
  <w:style w:type="character" w:styleId="af5">
    <w:name w:val="Hyperlink"/>
    <w:basedOn w:val="a0"/>
    <w:uiPriority w:val="99"/>
    <w:rsid w:val="00861C6E"/>
    <w:rPr>
      <w:color w:val="000080"/>
      <w:u w:val="single"/>
    </w:rPr>
  </w:style>
  <w:style w:type="character" w:customStyle="1" w:styleId="71">
    <w:name w:val="Основной текст (7)_"/>
    <w:basedOn w:val="a0"/>
    <w:link w:val="72"/>
    <w:uiPriority w:val="99"/>
    <w:rsid w:val="00861C6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861C6E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861C6E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61C6E"/>
  </w:style>
  <w:style w:type="paragraph" w:styleId="af7">
    <w:name w:val="footnote text"/>
    <w:basedOn w:val="a"/>
    <w:link w:val="af8"/>
    <w:uiPriority w:val="99"/>
    <w:semiHidden/>
    <w:unhideWhenUsed/>
    <w:rsid w:val="00861C6E"/>
    <w:pPr>
      <w:spacing w:after="0" w:line="240" w:lineRule="auto"/>
    </w:pPr>
    <w:rPr>
      <w:rFonts w:asciiTheme="minorHAnsi" w:hAnsiTheme="minorHAnsi" w:cstheme="minorBidi"/>
      <w:sz w:val="20"/>
      <w:szCs w:val="20"/>
      <w:lang w:val="ru-RU" w:bidi="ar-SA"/>
    </w:rPr>
  </w:style>
  <w:style w:type="character" w:customStyle="1" w:styleId="af8">
    <w:name w:val="Текст сноски Знак"/>
    <w:basedOn w:val="a0"/>
    <w:link w:val="af7"/>
    <w:uiPriority w:val="99"/>
    <w:semiHidden/>
    <w:rsid w:val="00861C6E"/>
    <w:rPr>
      <w:rFonts w:asciiTheme="minorHAnsi" w:hAnsiTheme="minorHAnsi" w:cstheme="minorBidi"/>
      <w:sz w:val="20"/>
      <w:szCs w:val="20"/>
      <w:lang w:val="ru-RU" w:bidi="ar-SA"/>
    </w:rPr>
  </w:style>
  <w:style w:type="character" w:styleId="af9">
    <w:name w:val="footnote reference"/>
    <w:basedOn w:val="a0"/>
    <w:uiPriority w:val="99"/>
    <w:semiHidden/>
    <w:unhideWhenUsed/>
    <w:rsid w:val="00861C6E"/>
    <w:rPr>
      <w:vertAlign w:val="superscript"/>
    </w:rPr>
  </w:style>
  <w:style w:type="paragraph" w:customStyle="1" w:styleId="110">
    <w:name w:val="Стиль11"/>
    <w:basedOn w:val="a"/>
    <w:link w:val="111"/>
    <w:qFormat/>
    <w:rsid w:val="00861C6E"/>
    <w:pPr>
      <w:ind w:firstLine="708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11">
    <w:name w:val="Стиль11 Знак"/>
    <w:basedOn w:val="a0"/>
    <w:link w:val="110"/>
    <w:rsid w:val="00861C6E"/>
    <w:rPr>
      <w:rFonts w:ascii="Times New Roman" w:hAnsi="Times New Roman" w:cs="Times New Roman"/>
      <w:sz w:val="28"/>
      <w:szCs w:val="28"/>
      <w:lang w:val="ru-RU"/>
    </w:rPr>
  </w:style>
  <w:style w:type="character" w:customStyle="1" w:styleId="nowrap">
    <w:name w:val="nowrap"/>
    <w:basedOn w:val="a0"/>
    <w:rsid w:val="00861C6E"/>
  </w:style>
  <w:style w:type="character" w:customStyle="1" w:styleId="12">
    <w:name w:val="Основной текст + Курсив1"/>
    <w:basedOn w:val="11"/>
    <w:uiPriority w:val="99"/>
    <w:rsid w:val="00861C6E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33">
    <w:name w:val="Заголовок №3 (3)_"/>
    <w:basedOn w:val="a0"/>
    <w:link w:val="331"/>
    <w:uiPriority w:val="99"/>
    <w:rsid w:val="00861C6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30">
    <w:name w:val="Заголовок №3 (3)"/>
    <w:basedOn w:val="33"/>
    <w:uiPriority w:val="99"/>
    <w:rsid w:val="00861C6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a">
    <w:name w:val="Подпись к таблице"/>
    <w:basedOn w:val="a0"/>
    <w:uiPriority w:val="99"/>
    <w:rsid w:val="00861C6E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861C6E"/>
    <w:pPr>
      <w:shd w:val="clear" w:color="auto" w:fill="FFFFFF"/>
      <w:spacing w:after="660" w:line="475" w:lineRule="exact"/>
      <w:jc w:val="both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b">
    <w:name w:val="Основной текст_"/>
    <w:link w:val="13"/>
    <w:rsid w:val="00861C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b"/>
    <w:rsid w:val="00861C6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</w:rPr>
  </w:style>
  <w:style w:type="paragraph" w:styleId="afc">
    <w:name w:val="Balloon Text"/>
    <w:basedOn w:val="a"/>
    <w:link w:val="afd"/>
    <w:uiPriority w:val="99"/>
    <w:semiHidden/>
    <w:unhideWhenUsed/>
    <w:rsid w:val="0086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61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53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slide/468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2215</Words>
  <Characters>12628</Characters>
  <Application>Microsoft Office Word</Application>
  <DocSecurity>0</DocSecurity>
  <Lines>105</Lines>
  <Paragraphs>29</Paragraphs>
  <ScaleCrop>false</ScaleCrop>
  <Company/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First</cp:lastModifiedBy>
  <cp:revision>6</cp:revision>
  <dcterms:created xsi:type="dcterms:W3CDTF">2016-11-07T18:15:00Z</dcterms:created>
  <dcterms:modified xsi:type="dcterms:W3CDTF">2017-10-19T09:26:00Z</dcterms:modified>
</cp:coreProperties>
</file>